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eastAsia"/>
          <w:b/>
          <w:bCs/>
          <w:sz w:val="30"/>
          <w:szCs w:val="30"/>
        </w:rPr>
      </w:pPr>
      <w:r>
        <w:rPr>
          <w:rFonts w:hint="eastAsia" w:cs="Times New Roman"/>
          <w:b/>
          <w:bCs/>
          <w:kern w:val="2"/>
          <w:sz w:val="32"/>
          <w:szCs w:val="32"/>
          <w:lang w:val="zh-CN"/>
        </w:rPr>
        <w:t>盱眙县2023年度小型水库维修养护项目防护隔离栅采购项目公告</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盱眙县2023年度小型水库维修养护项目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b/>
          <w:bCs/>
          <w:color w:val="000000"/>
          <w:kern w:val="0"/>
          <w:szCs w:val="21"/>
          <w:u w:val="single"/>
        </w:rPr>
        <w:t>盱眙县2023年度小型水库维修养护项目防护隔离栅采购</w:t>
      </w:r>
      <w:r>
        <w:rPr>
          <w:rFonts w:hint="eastAsia" w:ascii="宋体" w:hAnsi="宋体"/>
          <w:b/>
          <w:bCs/>
          <w:szCs w:val="21"/>
          <w:u w:val="single"/>
        </w:rPr>
        <w:t>项目</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盱眙县2023年度小型水库维修养护项目防护隔离栅采购项目</w:t>
      </w:r>
      <w:r>
        <w:rPr>
          <w:rFonts w:hint="eastAsia" w:ascii="宋体" w:hAnsi="宋体"/>
          <w:color w:val="000000"/>
          <w:kern w:val="0"/>
          <w:szCs w:val="21"/>
        </w:rPr>
        <w:t>位于盱眙县范围内。</w:t>
      </w:r>
    </w:p>
    <w:p>
      <w:pPr>
        <w:spacing w:line="380" w:lineRule="exact"/>
        <w:ind w:left="426"/>
        <w:rPr>
          <w:rFonts w:hint="eastAsia" w:ascii="宋体" w:hAnsi="宋体"/>
          <w:kern w:val="0"/>
          <w:szCs w:val="21"/>
          <w:highlight w:val="none"/>
        </w:rPr>
      </w:pPr>
      <w:r>
        <w:rPr>
          <w:rFonts w:hint="eastAsia" w:ascii="宋体" w:hAnsi="宋体"/>
          <w:color w:val="000000"/>
          <w:kern w:val="0"/>
          <w:szCs w:val="21"/>
        </w:rPr>
        <w:t>本</w:t>
      </w:r>
      <w:r>
        <w:rPr>
          <w:rFonts w:hint="eastAsia" w:ascii="宋体" w:hAnsi="宋体"/>
          <w:color w:val="000000"/>
          <w:kern w:val="0"/>
          <w:szCs w:val="21"/>
          <w:highlight w:val="none"/>
        </w:rPr>
        <w:t>次招标为</w:t>
      </w:r>
      <w:r>
        <w:rPr>
          <w:rFonts w:hint="eastAsia" w:ascii="宋体" w:hAnsi="宋体"/>
          <w:szCs w:val="21"/>
          <w:highlight w:val="none"/>
        </w:rPr>
        <w:t>采购大理石防护隔离栅约4730</w:t>
      </w:r>
      <w:r>
        <w:rPr>
          <w:rFonts w:hint="eastAsia" w:ascii="宋体" w:hAnsi="宋体" w:cs="微软雅黑"/>
          <w:szCs w:val="21"/>
          <w:highlight w:val="none"/>
        </w:rPr>
        <w:t>m</w:t>
      </w:r>
      <w:r>
        <w:rPr>
          <w:rFonts w:hint="eastAsia" w:ascii="宋体" w:hAnsi="宋体"/>
          <w:szCs w:val="21"/>
          <w:highlight w:val="none"/>
        </w:rPr>
        <w:t>，</w:t>
      </w:r>
      <w:r>
        <w:rPr>
          <w:rFonts w:hint="eastAsia" w:ascii="宋体" w:hAnsi="宋体" w:cs="微软雅黑"/>
          <w:szCs w:val="21"/>
          <w:highlight w:val="none"/>
        </w:rPr>
        <w:t>详见招标文件。</w:t>
      </w:r>
      <w:r>
        <w:rPr>
          <w:rFonts w:hint="eastAsia"/>
          <w:szCs w:val="21"/>
          <w:highlight w:val="none"/>
        </w:rPr>
        <w:t>招标控制价为140元/m。</w:t>
      </w:r>
    </w:p>
    <w:p>
      <w:pPr>
        <w:widowControl/>
        <w:snapToGrid w:val="0"/>
        <w:spacing w:line="420" w:lineRule="exact"/>
        <w:ind w:firstLine="420" w:firstLineChars="200"/>
        <w:rPr>
          <w:rFonts w:hint="eastAsia"/>
          <w:color w:val="000000"/>
          <w:szCs w:val="21"/>
          <w:highlight w:val="none"/>
        </w:rPr>
      </w:pPr>
      <w:r>
        <w:rPr>
          <w:rFonts w:hint="eastAsia" w:ascii="宋体" w:hAnsi="宋体"/>
          <w:color w:val="000000"/>
          <w:kern w:val="0"/>
          <w:szCs w:val="21"/>
          <w:highlight w:val="none"/>
        </w:rPr>
        <w:t>工期</w:t>
      </w:r>
      <w:r>
        <w:rPr>
          <w:rFonts w:ascii="宋体" w:hAnsi="宋体"/>
          <w:color w:val="000000"/>
          <w:kern w:val="0"/>
          <w:szCs w:val="21"/>
          <w:highlight w:val="none"/>
        </w:rPr>
        <w:t>：</w:t>
      </w:r>
      <w:r>
        <w:rPr>
          <w:rFonts w:hint="eastAsia"/>
          <w:color w:val="000000"/>
          <w:szCs w:val="21"/>
          <w:highlight w:val="none"/>
        </w:rPr>
        <w:t>20日历天。</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6"/>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3.1投标人要求有效的独立企业法人资格，同时</w:t>
      </w:r>
      <w:r>
        <w:rPr>
          <w:rFonts w:hint="eastAsia" w:cs="Times New Roman"/>
          <w:kern w:val="2"/>
          <w:sz w:val="21"/>
          <w:szCs w:val="21"/>
        </w:rPr>
        <w:t>具备主管部门颁发的营业执照</w:t>
      </w:r>
      <w:r>
        <w:rPr>
          <w:rFonts w:hint="eastAsia" w:cs="Times New Roman"/>
          <w:color w:val="000000"/>
          <w:sz w:val="21"/>
          <w:szCs w:val="21"/>
        </w:rPr>
        <w:t>。</w:t>
      </w:r>
    </w:p>
    <w:p>
      <w:pPr>
        <w:pStyle w:val="6"/>
        <w:spacing w:before="0" w:beforeAutospacing="0" w:after="0" w:afterAutospacing="0" w:line="360" w:lineRule="auto"/>
        <w:ind w:firstLine="420" w:firstLineChars="200"/>
        <w:rPr>
          <w:rFonts w:hint="eastAsia" w:cs="Times New Roman"/>
          <w:color w:val="000000"/>
          <w:sz w:val="21"/>
          <w:szCs w:val="21"/>
        </w:rPr>
      </w:pPr>
      <w:r>
        <w:rPr>
          <w:rFonts w:hint="eastAsia" w:cs="Times New Roman"/>
          <w:color w:val="000000"/>
          <w:sz w:val="21"/>
          <w:szCs w:val="21"/>
        </w:rPr>
        <w:t>3.2投标人2021年1月1日以来具有类</w:t>
      </w:r>
      <w:r>
        <w:rPr>
          <w:rFonts w:hint="eastAsia" w:cs="Times New Roman"/>
          <w:color w:val="000000"/>
          <w:sz w:val="21"/>
          <w:szCs w:val="21"/>
          <w:highlight w:val="none"/>
        </w:rPr>
        <w:t>似</w:t>
      </w:r>
      <w:r>
        <w:rPr>
          <w:rFonts w:hint="eastAsia" w:cs="Times New Roman"/>
          <w:b/>
          <w:bCs/>
          <w:color w:val="000000"/>
          <w:sz w:val="21"/>
          <w:szCs w:val="21"/>
          <w:highlight w:val="none"/>
        </w:rPr>
        <w:t>防护隔离栅</w:t>
      </w:r>
      <w:r>
        <w:rPr>
          <w:rFonts w:hint="eastAsia" w:cs="Times New Roman"/>
          <w:b/>
          <w:color w:val="000000"/>
          <w:sz w:val="21"/>
          <w:szCs w:val="21"/>
          <w:highlight w:val="none"/>
        </w:rPr>
        <w:t>业绩</w:t>
      </w:r>
      <w:r>
        <w:rPr>
          <w:rFonts w:hint="eastAsia" w:cs="Times New Roman"/>
          <w:color w:val="000000"/>
          <w:sz w:val="21"/>
          <w:szCs w:val="21"/>
          <w:highlight w:val="none"/>
        </w:rPr>
        <w:t>(</w:t>
      </w:r>
      <w:r>
        <w:rPr>
          <w:rFonts w:hint="eastAsia" w:cs="Times New Roman"/>
          <w:color w:val="000000"/>
          <w:sz w:val="21"/>
          <w:szCs w:val="21"/>
        </w:rPr>
        <w:t>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rPr>
        <w:t>3.7不得存在被最高人民法院在“信用中国”网站（www.creditchina.gov.cn）列入失信被执行人、</w:t>
      </w:r>
      <w:r>
        <w:rPr>
          <w:rFonts w:hint="eastAsia" w:ascii="宋体" w:hAnsi="宋体"/>
          <w:color w:val="000000"/>
          <w:kern w:val="0"/>
          <w:szCs w:val="21"/>
          <w:highlight w:val="none"/>
        </w:rPr>
        <w:t>重大税收违法案件当事人名单。</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3.8本项目不接受联合体投标。</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highlight w:val="none"/>
          <w:lang w:val="en"/>
        </w:rPr>
      </w:pPr>
      <w:r>
        <w:rPr>
          <w:rFonts w:hint="eastAsia" w:ascii="宋体" w:hAnsi="宋体" w:cs="宋体"/>
          <w:b/>
          <w:bCs/>
          <w:kern w:val="0"/>
          <w:szCs w:val="21"/>
          <w:highlight w:val="none"/>
          <w:lang w:val="en"/>
        </w:rPr>
        <w:t>注：同一个投标单位在盱眙县2023年度小型水库维修养护项目中只能中一个标。</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4、发布公告的媒介及时间</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本项目招标公告同时在天源控股集团网站http://www.xuyiwater.com/、江苏天源建设集团网站http://www.tianyuanconstruction.com/上发布。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公告期为2024年4月24日至2024</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年4月28日。</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5、招标文件获取</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5.1招标文件获取时间： 潜在投标人有意参加本项目投标的请于2024年4月2</w:t>
      </w:r>
      <w:r>
        <w:rPr>
          <w:rFonts w:hint="eastAsia" w:ascii="宋体" w:hAnsi="宋体"/>
          <w:color w:val="000000"/>
          <w:kern w:val="0"/>
          <w:szCs w:val="21"/>
          <w:highlight w:val="none"/>
          <w:lang w:val="en-US" w:eastAsia="zh-CN"/>
        </w:rPr>
        <w:t>8</w:t>
      </w:r>
      <w:r>
        <w:rPr>
          <w:rFonts w:hint="eastAsia" w:ascii="宋体" w:hAnsi="宋体"/>
          <w:color w:val="000000"/>
          <w:kern w:val="0"/>
          <w:szCs w:val="21"/>
          <w:highlight w:val="none"/>
        </w:rPr>
        <w:t>日17：</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highlight w:val="none"/>
          <w:lang w:val="zh-CN"/>
        </w:rPr>
        <w:t>盱眙县2023年度小型水库维修养护项目防护隔离栅采购</w:t>
      </w:r>
      <w:r>
        <w:rPr>
          <w:rFonts w:hint="eastAsia" w:ascii="宋体" w:hAnsi="宋体"/>
          <w:color w:val="000000"/>
          <w:kern w:val="0"/>
          <w:szCs w:val="21"/>
          <w:highlight w:val="none"/>
        </w:rPr>
        <w:t>项目”，获取招标文件。本项目招标不接受现场报名。</w:t>
      </w:r>
      <w:r>
        <w:rPr>
          <w:rFonts w:hint="eastAsia" w:ascii="宋体" w:hAnsi="宋体"/>
          <w:color w:val="000000"/>
          <w:kern w:val="0"/>
          <w:szCs w:val="21"/>
          <w:highlight w:val="none"/>
        </w:rPr>
        <w:fldChar w:fldCharType="end"/>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highlight w:val="none"/>
        </w:rPr>
      </w:pPr>
      <w:r>
        <w:rPr>
          <w:rFonts w:hint="eastAsia" w:ascii="宋体" w:hAnsi="宋体"/>
          <w:b/>
          <w:color w:val="000000"/>
          <w:kern w:val="0"/>
          <w:szCs w:val="21"/>
          <w:highlight w:val="none"/>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6、投标文件接收截止时间、地点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投标文件接收截止时间</w:t>
      </w:r>
      <w:bookmarkStart w:id="0" w:name="OLE_LINK1"/>
      <w:r>
        <w:rPr>
          <w:rFonts w:hint="eastAsia" w:ascii="宋体" w:hAnsi="宋体"/>
          <w:color w:val="000000"/>
          <w:kern w:val="0"/>
          <w:szCs w:val="21"/>
          <w:highlight w:val="none"/>
        </w:rPr>
        <w:t>：2024年4月30日14:30</w:t>
      </w:r>
      <w:bookmarkEnd w:id="0"/>
      <w:r>
        <w:rPr>
          <w:rFonts w:hint="eastAsia" w:ascii="宋体" w:hAnsi="宋体"/>
          <w:color w:val="000000"/>
          <w:kern w:val="0"/>
          <w:szCs w:val="21"/>
          <w:highlight w:val="none"/>
        </w:rPr>
        <w:t>时</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7、开标时间及地点</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开标时间：2024年4月30日14:30时</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8、踏勘现场及标前会</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316" w:firstLineChars="150"/>
        <w:jc w:val="left"/>
        <w:rPr>
          <w:rFonts w:hint="eastAsia" w:ascii="宋体" w:hAnsi="宋体"/>
          <w:b/>
          <w:bCs/>
          <w:color w:val="000000"/>
          <w:kern w:val="0"/>
          <w:szCs w:val="21"/>
          <w:highlight w:val="none"/>
        </w:rPr>
      </w:pPr>
      <w:r>
        <w:rPr>
          <w:rFonts w:hint="eastAsia"/>
          <w:b/>
          <w:bCs/>
          <w:szCs w:val="21"/>
          <w:highlight w:val="none"/>
        </w:rPr>
        <w:t>本工程无预付款，供货完成经验收合格后付结算货款70%，余款在工程完工验收合格后一次性无息付清。（付款需提供增值税专用发票）。</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（1）卖方出具的交货清单正本一份；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（2）买方签署的收货清单正本一份；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（3）出厂合格证、进度款支付函正本一份；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 xml:space="preserve">（4）进度款等额的增值税专用发票正本一份； </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（5）其它。</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10、违约责任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工期：</w:t>
      </w:r>
      <w:r>
        <w:rPr>
          <w:rFonts w:hint="eastAsia"/>
          <w:color w:val="000000"/>
          <w:szCs w:val="21"/>
          <w:highlight w:val="none"/>
        </w:rPr>
        <w:t>20日历天。</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10.2如卖方无正当理由而拖延供货</w:t>
      </w:r>
      <w:r>
        <w:rPr>
          <w:rFonts w:hint="eastAsia" w:ascii="宋体" w:hAnsi="宋体"/>
          <w:color w:val="000000"/>
          <w:kern w:val="0"/>
          <w:szCs w:val="21"/>
        </w:rPr>
        <w:t>，将受到以下制裁：没收履约担保，加收误期赔偿或终止合同。</w:t>
      </w:r>
    </w:p>
    <w:p>
      <w:pPr>
        <w:pStyle w:val="9"/>
        <w:ind w:firstLine="420" w:firstLineChars="200"/>
        <w:rPr>
          <w:rFonts w:hint="eastAsia"/>
          <w:highlight w:val="none"/>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w:t>
      </w:r>
      <w:r>
        <w:rPr>
          <w:rFonts w:hint="eastAsia" w:ascii="宋体" w:hAnsi="宋体" w:cs="Times New Roman"/>
          <w:color w:val="000000"/>
          <w:highlight w:val="none"/>
        </w:rPr>
        <w:t>，误期赔偿费按0.</w:t>
      </w:r>
      <w:r>
        <w:rPr>
          <w:rFonts w:hint="eastAsia" w:ascii="宋体" w:hAnsi="宋体" w:cs="Times New Roman"/>
          <w:color w:val="000000"/>
          <w:highlight w:val="none"/>
          <w:lang w:val="en-US" w:eastAsia="zh-CN"/>
        </w:rPr>
        <w:t>5</w:t>
      </w:r>
      <w:r>
        <w:rPr>
          <w:rFonts w:hint="eastAsia" w:ascii="宋体" w:hAnsi="宋体" w:cs="Times New Roman"/>
          <w:color w:val="000000"/>
          <w:highlight w:val="none"/>
        </w:rPr>
        <w:t>万元/每天计扣，直至供货服务为止。</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11、有关费用：</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11.1投标保证金：</w:t>
      </w:r>
      <w:r>
        <w:rPr>
          <w:rFonts w:hint="eastAsia"/>
          <w:szCs w:val="21"/>
          <w:highlight w:val="none"/>
        </w:rPr>
        <w:t>叁仟元，</w:t>
      </w:r>
      <w:r>
        <w:rPr>
          <w:rFonts w:hint="eastAsia" w:ascii="宋体" w:hAnsi="宋体"/>
          <w:color w:val="000000"/>
          <w:kern w:val="0"/>
          <w:szCs w:val="21"/>
          <w:highlight w:val="none"/>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11.2履约保证金：</w:t>
      </w:r>
      <w:r>
        <w:rPr>
          <w:rFonts w:hint="eastAsia" w:ascii="宋体" w:hAnsi="宋体"/>
          <w:szCs w:val="21"/>
          <w:highlight w:val="none"/>
        </w:rPr>
        <w:t>本工程履约保证金为贰万元，</w:t>
      </w:r>
      <w:r>
        <w:rPr>
          <w:rFonts w:hint="eastAsia" w:ascii="宋体" w:hAnsi="宋体"/>
          <w:color w:val="000000"/>
          <w:kern w:val="0"/>
          <w:szCs w:val="21"/>
          <w:highlight w:val="none"/>
        </w:rPr>
        <w:t>中标人在招标人签发中标通知书之日起7日内缴纳，否则可视为中标人自动放弃中标，没收投标保证金。</w:t>
      </w:r>
      <w:r>
        <w:rPr>
          <w:rFonts w:hint="eastAsia"/>
          <w:szCs w:val="21"/>
          <w:highlight w:val="none"/>
        </w:rPr>
        <w:t>履约保证金返还方式</w:t>
      </w:r>
      <w:r>
        <w:rPr>
          <w:rFonts w:hint="eastAsia"/>
          <w:szCs w:val="21"/>
        </w:rPr>
        <w:t>：</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12.1资格审查标准</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w:t>
            </w:r>
            <w:r>
              <w:rPr>
                <w:rFonts w:hint="eastAsia"/>
                <w:szCs w:val="21"/>
              </w:rPr>
              <w:t>主管部门颁发的营业执照</w:t>
            </w:r>
            <w:r>
              <w:rPr>
                <w:rFonts w:hint="eastAsia" w:ascii="宋体" w:hAnsi="宋体"/>
                <w:color w:val="000000"/>
                <w:kern w:val="0"/>
                <w:szCs w:val="18"/>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hint="eastAsia"/>
                <w:color w:val="000000"/>
                <w:sz w:val="20"/>
                <w:szCs w:val="18"/>
                <w:highlight w:val="none"/>
              </w:rPr>
            </w:pPr>
            <w:r>
              <w:rPr>
                <w:rFonts w:hint="eastAsia"/>
                <w:color w:val="000000"/>
                <w:szCs w:val="21"/>
                <w:highlight w:val="none"/>
              </w:rPr>
              <w:t>投标人2021年1月1日以来具有类似</w:t>
            </w:r>
            <w:r>
              <w:rPr>
                <w:rFonts w:hint="eastAsia"/>
                <w:b/>
                <w:bCs/>
                <w:color w:val="000000"/>
                <w:szCs w:val="21"/>
                <w:highlight w:val="none"/>
              </w:rPr>
              <w:t>防护隔离栅</w:t>
            </w:r>
            <w:r>
              <w:rPr>
                <w:rFonts w:hint="eastAsia" w:ascii="宋体" w:hAnsi="宋体"/>
                <w:b/>
                <w:bCs/>
                <w:szCs w:val="21"/>
                <w:highlight w:val="none"/>
              </w:rPr>
              <w:t>供货</w:t>
            </w:r>
            <w:r>
              <w:rPr>
                <w:rFonts w:hint="eastAsia"/>
                <w:b/>
                <w:color w:val="000000"/>
                <w:szCs w:val="21"/>
                <w:highlight w:val="none"/>
              </w:rPr>
              <w:t>业绩</w:t>
            </w:r>
            <w:r>
              <w:rPr>
                <w:rFonts w:hint="eastAsia"/>
                <w:color w:val="000000"/>
                <w:szCs w:val="21"/>
                <w:highlight w:val="none"/>
              </w:rPr>
              <w:t>(提供合同协议书，以合同签订时间为准)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ascii="宋体" w:hAnsi="宋体"/>
          <w:color w:val="000000"/>
          <w:szCs w:val="21"/>
          <w:lang w:val="zh-TW"/>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pStyle w:val="2"/>
        <w:rPr>
          <w:rFonts w:hint="eastAsia"/>
        </w:rPr>
      </w:pP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0426508F"/>
    <w:rsid w:val="0426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1"/>
    <w:basedOn w:val="3"/>
    <w:next w:val="4"/>
    <w:qFormat/>
    <w:uiPriority w:val="0"/>
    <w:pPr>
      <w:tabs>
        <w:tab w:val="left" w:pos="420"/>
        <w:tab w:val="left" w:pos="1110"/>
      </w:tabs>
      <w:spacing w:before="120" w:after="120" w:line="180" w:lineRule="auto"/>
      <w:ind w:firstLine="200" w:firstLineChars="200"/>
      <w:contextualSpacing/>
    </w:pPr>
    <w:rPr>
      <w:rFonts w:ascii="Times New Roman" w:hAnsi="Times New Roman" w:eastAsia="Adobe 仿宋 Std R"/>
      <w:kern w:val="2"/>
    </w:rPr>
  </w:style>
  <w:style w:type="paragraph" w:customStyle="1" w:styleId="3">
    <w:name w:val="样式1"/>
    <w:basedOn w:val="1"/>
    <w:autoRedefine/>
    <w:qFormat/>
    <w:uiPriority w:val="0"/>
    <w:pPr>
      <w:tabs>
        <w:tab w:val="left" w:pos="420"/>
        <w:tab w:val="left" w:pos="1110"/>
      </w:tabs>
      <w:adjustRightInd w:val="0"/>
      <w:ind w:left="420" w:hanging="420"/>
      <w:textAlignment w:val="baseline"/>
    </w:pPr>
    <w:rPr>
      <w:rFonts w:ascii="宋体" w:hAnsi="宋体"/>
      <w:kern w:val="0"/>
      <w:szCs w:val="21"/>
    </w:rPr>
  </w:style>
  <w:style w:type="paragraph" w:customStyle="1" w:styleId="4">
    <w:name w:val="正文 A"/>
    <w:next w:val="5"/>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
    <w:name w:val="段"/>
    <w:next w:val="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9">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2024-04-24T06:18:00Z</dcterms:created>
  <dc:creator>三十而立</dc:creator>
  <cp:lastModifiedBy>三十而立</cp:lastModifiedBy>
  <dcterms:modified xsi:type="dcterms:W3CDTF">2024-04-24T06:18:38Z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8B06684FFEC2483E91491C529A9435EE_11</vt:lpwstr>
  </property>
</Properties>
</file>